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12 118 vom 21. März 2012</w:t>
      </w:r>
    </w:p>
    <w:p>
      <w:r>
        <w:t>BL Gerichte, 2012-03-21, DE</w:t>
      </w:r>
    </w:p>
    <w:p>
      <w:r>
        <w:rPr>
          <w:b/>
        </w:rPr>
        <w:t xml:space="preserve">Quelle: </w:t>
      </w:r>
      <w:r>
        <w:t>https://mcp.opencaselaw.ch/entscheid/bl_gerichte_460 12 118</w:t>
      </w:r>
    </w:p>
    <w:p>
      <w:r>
        <w:t>FR: BL_GERICHTE 460 12 118 du 21 mars 2012</w:t>
      </w:r>
    </w:p>
    <w:p>
      <w:r>
        <w:t>IT: BL_GERICHTE 460 12 118 del 21 marzo 2012</w:t>
      </w:r>
    </w:p>
    <w:p>
      <w:pPr>
        <w:pStyle w:val="Heading2"/>
      </w:pPr>
      <w:r>
        <w:t>Regeste</w:t>
      </w:r>
    </w:p>
    <w:p>
      <w:r>
        <w:t>Grobe Verletzung von Verkehrsregeln</w:t>
      </w:r>
    </w:p>
    <w:p>
      <w:pPr>
        <w:pStyle w:val="Heading2"/>
      </w:pPr>
      <w:r>
        <w:t>Erwägungen</w:t>
      </w:r>
    </w:p>
    <w:p>
      <w:r>
        <w:rPr>
          <w:b/>
        </w:rPr>
        <w:t>E. 4</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Bestimmt es das Gesetz nicht anders, so beträgt die Geldstrafe höchstens 360 Tagessätze; das Gericht bestimmt deren Anzahl nach dem Verschulden des Täters (Art. 34 Abs. 1 StGB). Ein Tagessatz beträgt höchstens 3'000 Franken; das Gericht bestimmt die Höhe des Tagessatzes nach den persönlichen und wirtschaftlichen Verhältnissen des Täters im Zeitpunkt des Urteils, namentlich nach Einkommen und Vermögen, Lebensaufwand, allfälligen Familien- und Unterstützungspflichten sowie nach dem Existenzminimum (Art. 34 Abs. 2 StGB). Gemäss Art. 42 Abs. 1 StGB schiebt das Gericht den Vollzug einer Geldstrafe in der Regel auf, wenn eine unbedingte Strafe nicht notwendig erscheint, um den Täter von der Begehung weiterer Verbrechen oder Vergehen abzuhalten. Nach Abs. 4 von Art. 42 StGB kann eine bedingte Strafe mit einer unbedingten Geldstrafe oder mit einer Busse nach Art. 106 StGB verbunden werden. In Anwendung von Art. 106 StGB beträgt der Höchstbetrag der Busse, soweit es das Gesetz nicht anders bestimmt, 10'000 Franken (Abs. 1). Der Richter spricht im Urteil für den Fall, dass die Busse schuldhaft nicht bezahlt wird, eine Ersatzfreiheitsstrafe von mindestens einem Tag und höchsten drei Monaten aus (Abs. 2). Das Gericht bemisst Busse und Ersatzfreiheitsstrafe je nach den Verhältnissen des Täters so, dass dieser die Strafe erleidet, die seinem Verschulden angemessen ist (Abs. 3). Hinsichtlich der konkreten Strafzumessung sieht das Kantonsgericht gestützt auf Art. 404 Abs. 1 StPO – nachdem vom Beschuldigten die Strafzumessung per se nicht angefochten, sondern lediglich die Verhängung einer Busse aufgrund einer differenzierten rechtlichen Würdigung des unbestrittenen Sachverhaltes beantragt wird – nach den entsprechenden Ausführungen zur rechtlichen Würdigung (oben E. 3.2) keine Veranlassung, von den zutreffenden Erwägungen der Vorinstanz abzuweichen, weshalb an vorliegender Stelle vollumfänglich auf die zu bestätigenden Ausführungen des Strafgerichts (E. II. S. 9) verwiesen werden kann. Demzufolge ist der Beschuldigte in Würdigung aller massgeblichen persönlichen und sachverhaltsbezogenen Umstände sowie unter Berücksichtigung vergleichbarer Praxis der groben Verletzung von Verkehrsregeln schuldig zu erklären und zu einer bedingt vollziehbaren Geldstrafe von 20 Tagessätzen zu je CHF 40.--, bei einer Probezeit von zwei Jahren, sowie zu einer Busse von CHF 500.-- (bzw. zu einer Ersatzfreiheitsstrafe von fünf Tagen bei schuldhafter Nichtbezahlung der Busse) zu verurteilen, womit die Berufung des Beschuldigten in Bestätigung des angefochtenen Urteils des Strafgerichtspräsidiums Basel-Landschaft vom 21. März 2012 abzuweisen ist.</w:t>
      </w:r>
    </w:p>
    <w:p>
      <w:r>
        <w:rPr>
          <w:b/>
        </w:rPr>
        <w:t>E. 5</w:t>
      </w:r>
    </w:p>
    <w:p>
      <w:r>
        <w:t>Bei diesem Verfahrensausgang rechtfertigt es sich nach Art. 428 Abs. 1 StPO, die ordentlichen Kosten des Berufungsverfahrens in der Höhe von CHF 900.-- (beinhaltend eine Gebühr von CHF 750.-- sowie Auslagen von CHF 150.--) dem Beschuldigten aufzuerlegen, welcher ausserdem seine eigenen Parteikosten selbst zu tragen hat.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